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e99b" w14:textId="a94e99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присуждения премий для неправительственных организаций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			</w:t>
      </w:r>
      <w:r>
        <w:rPr>
          <w:rFonts w:ascii="Consolas"/>
          <w:b/>
          <w:i/>
          <w:color w:val="888888"/>
        </w:rPr>
        <w:t>Утративший силу</w:t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культуры и спорта Республики Казахстан от 22 декабря 2015 года № 407. Зарегистрирован в Министерстве юстиции Республики Казахстан 30 декабря 2015 года № 12664. Утратил силу приказом Министра по делам религий и гражданского общества Республики Казахстан от 25 мая 2018 года № 52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Утратил силу приказом Министра по делам религий и гражданского общества РК от 25.05.2018 </w:t>
      </w:r>
      <w:r>
        <w:rPr>
          <w:rFonts w:ascii="Consolas"/>
          <w:b w:val="false"/>
          <w:i w:val="false"/>
          <w:color w:val="000000"/>
          <w:sz w:val="20"/>
        </w:rPr>
        <w:t>№ 52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2-2)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присуждения премий для неправительственных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2. Комитету по развитию языков и общественно-политической работы Министерства культуры и спорта Республики Казахстан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А. Мухамедиулы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22 декабря 2015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в редакции приказа Министра по делам религий и гражданского общества РК от 15.06.2017 </w:t>
      </w:r>
      <w:r>
        <w:rPr>
          <w:rFonts w:ascii="Consolas"/>
          <w:b w:val="false"/>
          <w:i w:val="false"/>
          <w:color w:val="000000"/>
          <w:sz w:val="20"/>
        </w:rPr>
        <w:t>№ 92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присуждения премий для неправительственных организаций</w:t>
      </w:r>
      <w:r>
        <w:br/>
      </w:r>
      <w:r>
        <w:rPr>
          <w:rFonts w:ascii="Consolas"/>
          <w:b/>
          <w:i w:val="false"/>
          <w:color w:val="000000"/>
        </w:rPr>
        <w:t>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 w:val="false"/>
          <w:color w:val="000000"/>
          <w:sz w:val="20"/>
        </w:rPr>
        <w:t xml:space="preserve">1. Настоящие Правила присуждения премий для неправительственных организаций (далее – Правила) разработанные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2-2)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(далее – Закон) и определяют порядок присуждения премий для неправительственных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1) соискатель премии – </w:t>
      </w:r>
      <w:r>
        <w:rPr>
          <w:rFonts w:ascii="Consolas"/>
          <w:b w:val="false"/>
          <w:i w:val="false"/>
          <w:color w:val="000000"/>
          <w:sz w:val="20"/>
        </w:rPr>
        <w:t>неправительственная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организация, подавшая заявку в 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на соискание премии;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2) премия для неправительственных организаций (далее – премия) –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3) Координационный совет по взаимодействию с неправительственными организациями при уполномоченном органе (далее – Координационный совет) – консультативно совещательный орган, создаваемый уполномоченным органом для выработки предложений по совершенствованию взаимодействия с неправительственными организациями созданный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6-1)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присуждения премий для неправительственных организаций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 w:val="false"/>
          <w:color w:val="000000"/>
          <w:sz w:val="20"/>
        </w:rPr>
        <w:t xml:space="preserve">3. Уполномоченный орган осуществляет присуждение премий для неправительственных организаций ежегодно за счет бюджетных средств согласно </w:t>
      </w:r>
      <w:r>
        <w:rPr>
          <w:rFonts w:ascii="Consolas"/>
          <w:b w:val="false"/>
          <w:i w:val="false"/>
          <w:color w:val="000000"/>
          <w:sz w:val="20"/>
        </w:rPr>
        <w:t>статьи 7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4. Выдвижение неправительственных организаций на соискание премии осуществляется неправительственными организациями и государственными органами.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5. Согласно </w:t>
      </w:r>
      <w:r>
        <w:rPr>
          <w:rFonts w:ascii="Consolas"/>
          <w:b w:val="false"/>
          <w:i w:val="false"/>
          <w:color w:val="000000"/>
          <w:sz w:val="20"/>
        </w:rPr>
        <w:t>пункту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6-3 Закона, не допускается повторное выдвижение на соискание премии одних и тех же неправительственных организаций в течение трех лет подряд. Одна и та же неправительственная организация не может выдвигаться на соискание премии более чем по одной номинации.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6. Премия по одной номинации присуждается одному или одновременно нескольким соискателям. В этом случае премия делится поровну между ними.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7. Объявление о приеме заявок о выдвижении неправительственных организаций на соискание премии размещается уполномоченным органом на интернет-ресурсе ежегодно не позднее 1 июля. Объявление содержит перечень документов для участия в конкурсе, а также дату окончания приема заявок.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8. Заявки о выдвижении неправительственных организаций на соискание премии подаются неправительственными организациями и государственными органами в уполномоченный орган ежегодно до 1 сентября.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Заявки подаются на бумажном и электронном носителях (CD-дисках либо USB (ЮСБ)-флэш-накопителях в формате Pdf (ПДФ)).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9. Для участия в конкурсе на соискание премии неправительственными организациями и государственными органами предоставляются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1) заявление (на официальном бланке неправительственной организации, государственного органа, подписанное первым руководителем либо лицом, исполняющим его обязанности,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2) копии учредительных документов и свидетельство (</w:t>
      </w:r>
      <w:r>
        <w:rPr>
          <w:rFonts w:ascii="Consolas"/>
          <w:b w:val="false"/>
          <w:i w:val="false"/>
          <w:color w:val="000000"/>
          <w:sz w:val="20"/>
        </w:rPr>
        <w:t>справка</w:t>
      </w:r>
      <w:r>
        <w:rPr>
          <w:rFonts w:ascii="Consolas"/>
          <w:b w:val="false"/>
          <w:i w:val="false"/>
          <w:color w:val="000000"/>
          <w:sz w:val="20"/>
        </w:rPr>
        <w:t>) о государственной регистрации (перерегистрации) неправительственной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3) характеристика о деятельности неправительственной организации, вкладе в решение социальных задач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(не более двух страниц формата А4);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4) рекомендации (не менее двух) представителей общественности (неправительственных организаций) о деятельности неправительственной организации, подавшей заявку;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5) копии наградных дипломов, грамот, благодарностей (при наличии);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6) банковские реквизиты неправительственной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10. В случае представления неполного пакета документов, указанных в 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уполномоченный орган в течении пяти рабочих дней направляет письменный мотивированный ответ заявителю об отказе в приеме документов.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11. Уполномоченный орган в течение десяти рабочих дней после окончания приема заявок размещает перечень соискателей премий на своем интернет-ресурсе и представляет на рассмотрение рабочему органу созданного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культуры и спорта Республики Казахстан № 404 от 22 декабря 2015 года "Об утверждении Положения о Координационном совете по взаимодействию с неправительственными организациями при уполномоченном органе" (зарегистрированный в Реестре государственной регистрации нормативных правовых актов под № 12623).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12. Рабочий орган рассматривает заявки на соискание премии по следующим критериям: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1) социальный вклад в развитие отрасли, региона, республики;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2) опыт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3) общественное признание;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4) инновации;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5) эффективность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13. Для рассмотрения заявки рабочий орган привлекает представителей заинтересованных государственных органов, общественных деятелей, экспертов по соответствующим направлениям присуждения премий, представителей средств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14. Рабочий орган вносит на рассмотрение Координационного совета предложения в произвольной форме рабочего органа по соискателям премии для выработки рекомендаций.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15. Координационный совет со дня поступления предложений рабочего органа по соискателям премии направляет рекомендации уполномоченному органу в срок не более двадцати пяти календарных дней.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16. Уполномоченный орган принимает решение о присуждении премии согласно рекомендациям Координационного совета в срок не более двадцати календарных дней со дня получения рекомендации. Решение уполномоченного органа о присуждении премии публикуется на интернет-ресурсе уполномоченного органа ежегодно не позднее 1 декабря.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17. Уполномоченный орган вручает победителям диплом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и перечисляет премию на банковский счет, указанный в характеристике неправительственной организации не позднее 20 декабря соответствующего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премий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(наименование неправительственной организации или государственного органа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        выдвигающего неправительственную организацию на соискание премии)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выдвигает для присуждения премии неправительственной организации по номинации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 в 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(указать название номинации)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(полное наименование неправительственной организаций согласно учредительным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документам, выдвинутой на соискание премии)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Предмет и цели неправительственной организации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(в соответствии с Уставом)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Опыт работы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(описать деятельность организации)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из них в сфере согласно номинации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Целевая аудитория/ адресная группа на которую направлена деятельность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неправительственных организации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 w:val="false"/>
          <w:i/>
          <w:color w:val="000000"/>
          <w:sz w:val="20"/>
        </w:rPr>
        <w:t>Должность</w:t>
      </w: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/>
          <w:color w:val="000000"/>
          <w:sz w:val="20"/>
        </w:rPr>
        <w:t xml:space="preserve">       (подпись) </w:t>
      </w:r>
      <w:r>
        <w:rPr>
          <w:rFonts w:ascii="Consolas"/>
          <w:b w:val="false"/>
          <w:i w:val="false"/>
          <w:color w:val="000000"/>
          <w:sz w:val="20"/>
        </w:rPr>
        <w:t xml:space="preserve">            </w:t>
      </w:r>
      <w:r>
        <w:rPr>
          <w:rFonts w:ascii="Consolas"/>
          <w:b w:val="false"/>
          <w:i/>
          <w:color w:val="000000"/>
          <w:sz w:val="20"/>
        </w:rPr>
        <w:t>      ФИО (при его наличии)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МП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Ознакомлен (а)_____________20 __ года.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 w:val="false"/>
          <w:i/>
          <w:color w:val="000000"/>
          <w:sz w:val="20"/>
        </w:rPr>
        <w:t xml:space="preserve">Должность </w:t>
      </w: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/>
          <w:color w:val="000000"/>
          <w:sz w:val="20"/>
        </w:rPr>
        <w:t xml:space="preserve">      (подпись) </w:t>
      </w:r>
      <w:r>
        <w:rPr>
          <w:rFonts w:ascii="Consolas"/>
          <w:b w:val="false"/>
          <w:i w:val="false"/>
          <w:color w:val="000000"/>
          <w:sz w:val="20"/>
        </w:rPr>
        <w:t xml:space="preserve">            </w:t>
      </w:r>
      <w:r>
        <w:rPr>
          <w:rFonts w:ascii="Consolas"/>
          <w:b w:val="false"/>
          <w:i/>
          <w:color w:val="000000"/>
          <w:sz w:val="20"/>
        </w:rPr>
        <w:t>      ФИО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премий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                                    Характеристика</w:t>
      </w:r>
      <w:r>
        <w:br/>
      </w:r>
      <w:r>
        <w:rPr>
          <w:rFonts w:ascii="Consolas"/>
          <w:b/>
          <w:i w:val="false"/>
          <w:color w:val="000000"/>
        </w:rPr>
        <w:t>о деятельности неправительственной организации, вкладе в решение социальных задач</w:t>
      </w:r>
      <w:r>
        <w:br/>
      </w:r>
      <w:r>
        <w:rPr>
          <w:rFonts w:ascii="Consolas"/>
          <w:b/>
          <w:i w:val="false"/>
          <w:color w:val="000000"/>
        </w:rPr>
        <w:t xml:space="preserve">                   республиканского, отраслевого и регионального уровней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</w:t>
      </w:r>
      <w:r>
        <w:rPr>
          <w:rFonts w:ascii="Consolas"/>
          <w:b w:val="false"/>
          <w:i/>
          <w:color w:val="000000"/>
          <w:sz w:val="20"/>
        </w:rPr>
        <w:t>(</w:t>
      </w:r>
      <w:r>
        <w:rPr>
          <w:rFonts w:ascii="Consolas"/>
          <w:b w:val="false"/>
          <w:i/>
          <w:color w:val="000000"/>
          <w:sz w:val="20"/>
        </w:rPr>
        <w:t>полное наименование организации)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2"/>
        <w:gridCol w:w="948"/>
      </w:tblGrid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 местонахождения и контактные данные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Штатная численность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Краткое эссе о своей деятельности на тему "Вклад в решение социальных задач республиканского, отраслевого и регионального уровней"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Опыт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Общественное признание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достижений деятельности неправительственных организации, которые внесли неоценимый вклад в социальную и общественную жизнь в Республике Казахстан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Инновации в деятельности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Эффективность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 w:val="false"/>
          <w:i/>
          <w:color w:val="000000"/>
          <w:sz w:val="20"/>
        </w:rPr>
        <w:t xml:space="preserve">Должность </w:t>
      </w: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  <w:r>
        <w:rPr>
          <w:rFonts w:ascii="Consolas"/>
          <w:b w:val="false"/>
          <w:i/>
          <w:color w:val="000000"/>
          <w:sz w:val="20"/>
        </w:rPr>
        <w:t xml:space="preserve">      (подпись) </w:t>
      </w:r>
      <w:r>
        <w:rPr>
          <w:rFonts w:ascii="Consolas"/>
          <w:b w:val="false"/>
          <w:i w:val="false"/>
          <w:color w:val="000000"/>
          <w:sz w:val="20"/>
        </w:rPr>
        <w:t xml:space="preserve">            </w:t>
      </w:r>
      <w:r>
        <w:rPr>
          <w:rFonts w:ascii="Consolas"/>
          <w:b w:val="false"/>
          <w:i/>
          <w:color w:val="000000"/>
          <w:sz w:val="20"/>
        </w:rPr>
        <w:t>      ФИО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МП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премий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